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88F1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第十二讲  经皮射频消融治疗</w:t>
      </w:r>
      <w:r>
        <w:rPr>
          <w:rFonts w:hint="eastAsia" w:ascii="方正小标宋简体" w:hAnsi="方正小标宋简体" w:eastAsia="方正小标宋简体" w:cs="方正小标宋简体"/>
          <w:color w:val="auto"/>
          <w:sz w:val="44"/>
          <w:szCs w:val="44"/>
        </w:rPr>
        <w:t>继发性甲状旁腺功能亢进</w:t>
      </w:r>
      <w:r>
        <w:rPr>
          <w:rFonts w:hint="eastAsia" w:ascii="方正小标宋简体" w:hAnsi="方正小标宋简体" w:eastAsia="方正小标宋简体" w:cs="方正小标宋简体"/>
          <w:color w:val="auto"/>
          <w:sz w:val="44"/>
          <w:szCs w:val="44"/>
          <w:lang w:eastAsia="zh-CN"/>
        </w:rPr>
        <w:t>的</w:t>
      </w:r>
      <w:r>
        <w:rPr>
          <w:rFonts w:hint="eastAsia" w:ascii="方正小标宋简体" w:hAnsi="方正小标宋简体" w:eastAsia="方正小标宋简体" w:cs="方正小标宋简体"/>
          <w:color w:val="auto"/>
          <w:sz w:val="44"/>
          <w:szCs w:val="44"/>
          <w:lang w:val="en-US" w:eastAsia="zh-CN"/>
        </w:rPr>
        <w:t>腹膜透析患者护理</w:t>
      </w:r>
    </w:p>
    <w:p w14:paraId="00F4C32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福建省立医院肾内科  曹芳 林钦玉</w:t>
      </w:r>
    </w:p>
    <w:p w14:paraId="094F0261">
      <w:pPr>
        <w:keepNext w:val="0"/>
        <w:keepLines w:val="0"/>
        <w:pageBreakBefore w:val="0"/>
        <w:kinsoku/>
        <w:wordWrap/>
        <w:overflowPunct/>
        <w:topLinePunct w:val="0"/>
        <w:bidi w:val="0"/>
        <w:snapToGrid/>
        <w:spacing w:line="590" w:lineRule="exact"/>
        <w:jc w:val="center"/>
        <w:textAlignment w:val="auto"/>
        <w:rPr>
          <w:rFonts w:hint="eastAsia" w:ascii="仿宋_GB2312" w:hAnsi="仿宋_GB2312" w:eastAsia="仿宋_GB2312" w:cs="仿宋_GB2312"/>
          <w:color w:val="auto"/>
          <w:sz w:val="32"/>
          <w:szCs w:val="32"/>
        </w:rPr>
      </w:pPr>
    </w:p>
    <w:p w14:paraId="1276DB0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慢性肾脏病（chronic kidney disease，CKD）是危害人类健康的重大慢性疾病，人群发病率高达10%，其中部分患者发展至慢性肾功能衰竭。尿毒症患者在血液透析、腹膜透析、肾移植的技术支持下生存期能够明显延长。</w:t>
      </w:r>
      <w:r>
        <w:rPr>
          <w:rFonts w:hint="eastAsia" w:ascii="仿宋_GB2312" w:hAnsi="仿宋_GB2312" w:eastAsia="仿宋_GB2312" w:cs="仿宋_GB2312"/>
          <w:color w:val="auto"/>
          <w:sz w:val="32"/>
          <w:szCs w:val="32"/>
        </w:rPr>
        <w:t>腹膜透析（Peritoneal dialysis,PD）是治疗终末期肾病的有效方法，对机体内环境影响小，现已被越来越多的患者作为首选治疗方案。继发性甲状旁腺功能亢进（SHPT），是尿毒症患者常见的严重并发症之一，</w:t>
      </w:r>
      <w:r>
        <w:rPr>
          <w:rFonts w:hint="eastAsia" w:ascii="仿宋_GB2312" w:hAnsi="仿宋_GB2312" w:eastAsia="仿宋_GB2312" w:cs="仿宋_GB2312"/>
          <w:color w:val="auto"/>
          <w:kern w:val="0"/>
          <w:sz w:val="32"/>
          <w:szCs w:val="32"/>
          <w:lang w:val="en-US" w:eastAsia="zh-CN" w:bidi="ar"/>
        </w:rPr>
        <w:t>慢性肾脏病患者中约 26.3% 合并</w:t>
      </w:r>
      <w:r>
        <w:rPr>
          <w:rFonts w:hint="eastAsia" w:ascii="仿宋_GB2312" w:hAnsi="仿宋_GB2312" w:eastAsia="仿宋_GB2312" w:cs="仿宋_GB2312"/>
          <w:color w:val="auto"/>
          <w:sz w:val="32"/>
          <w:szCs w:val="32"/>
        </w:rPr>
        <w:t>继发性甲状旁腺功能亢进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在长期接受维持性腹膜透析或血液透析患者中多见，是由于长期的钙磷代谢障碍所致，其可引起皮肤、骨骼及脏器等多系统病变，影响患者的生活质量及生存率</w:t>
      </w:r>
      <w:r>
        <w:rPr>
          <w:rFonts w:hint="eastAsia" w:ascii="仿宋_GB2312" w:hAnsi="仿宋_GB2312" w:eastAsia="仿宋_GB2312" w:cs="仿宋_GB2312"/>
          <w:color w:val="auto"/>
          <w:kern w:val="0"/>
          <w:sz w:val="32"/>
          <w:szCs w:val="32"/>
          <w:lang w:val="en-US" w:eastAsia="zh-CN" w:bidi="ar"/>
        </w:rPr>
        <w:t>，甚至导致其死亡。通过对饮食的控制、磷结合剂的使用以及充分透析，可以使部分患者的钙磷及甲状旁腺激素水平控制在可接受范围，但仍有部分患者会发展至难治性</w:t>
      </w:r>
      <w:r>
        <w:rPr>
          <w:rFonts w:hint="eastAsia" w:ascii="仿宋_GB2312" w:hAnsi="仿宋_GB2312" w:eastAsia="仿宋_GB2312" w:cs="仿宋_GB2312"/>
          <w:color w:val="auto"/>
          <w:sz w:val="32"/>
          <w:szCs w:val="32"/>
        </w:rPr>
        <w:t>继发性甲状旁腺功能亢进</w:t>
      </w:r>
      <w:r>
        <w:rPr>
          <w:rFonts w:hint="eastAsia" w:ascii="仿宋_GB2312" w:hAnsi="仿宋_GB2312" w:eastAsia="仿宋_GB2312" w:cs="仿宋_GB2312"/>
          <w:color w:val="auto"/>
          <w:kern w:val="0"/>
          <w:sz w:val="32"/>
          <w:szCs w:val="32"/>
          <w:lang w:val="en-US" w:eastAsia="zh-CN" w:bidi="ar"/>
        </w:rPr>
        <w:t>。传统</w:t>
      </w:r>
      <w:r>
        <w:rPr>
          <w:rFonts w:hint="eastAsia" w:ascii="仿宋_GB2312" w:hAnsi="仿宋_GB2312" w:eastAsia="仿宋_GB2312" w:cs="仿宋_GB2312"/>
          <w:color w:val="auto"/>
          <w:sz w:val="32"/>
          <w:szCs w:val="32"/>
        </w:rPr>
        <w:t>继发性甲状旁腺功能亢进</w:t>
      </w:r>
      <w:r>
        <w:rPr>
          <w:rFonts w:hint="eastAsia" w:ascii="仿宋_GB2312" w:hAnsi="仿宋_GB2312" w:eastAsia="仿宋_GB2312" w:cs="仿宋_GB2312"/>
          <w:color w:val="auto"/>
          <w:kern w:val="0"/>
          <w:sz w:val="32"/>
          <w:szCs w:val="32"/>
          <w:lang w:val="en-US" w:eastAsia="zh-CN" w:bidi="ar"/>
        </w:rPr>
        <w:t>治疗分为药物治疗及手术切除 两种方式，药物治疗对于难治性</w:t>
      </w:r>
      <w:r>
        <w:rPr>
          <w:rFonts w:hint="eastAsia" w:ascii="仿宋_GB2312" w:hAnsi="仿宋_GB2312" w:eastAsia="仿宋_GB2312" w:cs="仿宋_GB2312"/>
          <w:color w:val="auto"/>
          <w:sz w:val="32"/>
          <w:szCs w:val="32"/>
        </w:rPr>
        <w:t>继发性甲状旁腺功能亢进</w:t>
      </w:r>
      <w:r>
        <w:rPr>
          <w:rFonts w:hint="eastAsia" w:ascii="仿宋_GB2312" w:hAnsi="仿宋_GB2312" w:eastAsia="仿宋_GB2312" w:cs="仿宋_GB2312"/>
          <w:color w:val="auto"/>
          <w:kern w:val="0"/>
          <w:sz w:val="32"/>
          <w:szCs w:val="32"/>
          <w:lang w:val="en-US" w:eastAsia="zh-CN" w:bidi="ar"/>
        </w:rPr>
        <w:t>疗效欠佳，外科手术治疗对患者创伤较大，部分透析患者难以耐受。寻找对患者创伤小、疗效好的微创治疗，是当前 SHPT治疗的热点之一。</w:t>
      </w:r>
    </w:p>
    <w:p w14:paraId="7FAF39E5">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随着超声介入治疗技术的不断发展，超声引导下的射频消融术逐渐应用于治疗尿毒症继发甲状旁腺功能亢进患者，治疗靶向性极强，能够有效改善患者的 iPTH、钙磷代谢及临床症状，治疗安全性良好。腹膜透析伴甲状旁腺功能亢进患者在内科治疗控制效果不理想时手术治疗一般视为最佳选择。经超声引导下经皮射频消融术治疗的患者，进行合理、充分的穿刺术后护理，对射频消融术的顺利进行、减少并发症的发生极其重要。在进行射频消融操作前所有患者均签署射频消融操作知情同意，均进行颈部超声检查。同时在完成射频消融操作后进行如下护理干预：</w:t>
      </w:r>
    </w:p>
    <w:p w14:paraId="0169E439">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一、心理护理：</w:t>
      </w:r>
      <w:r>
        <w:rPr>
          <w:rFonts w:hint="eastAsia" w:ascii="仿宋_GB2312" w:hAnsi="仿宋_GB2312" w:eastAsia="仿宋_GB2312" w:cs="仿宋_GB2312"/>
          <w:color w:val="auto"/>
          <w:sz w:val="32"/>
          <w:szCs w:val="32"/>
        </w:rPr>
        <w:t>首先责任护士根据患者入院时填写的焦虑量表了解其心理状态，评估心理变化，解释经皮射频消融属于微创技术，超声引导精确定位，疼痛小，安全性和有效性有保障，术后不影响美观。耐心解答患者及家属提出的疑问，也可以安排患者与病房内已经治疗过的患者进行交流，帮助其打消顾虑，积极配合治疗与护理。经过心理护理，患者治疗后的焦虑情绪较治疗前有所改善。</w:t>
      </w:r>
    </w:p>
    <w:p w14:paraId="2A9CD275">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二、饮食指导：</w:t>
      </w:r>
      <w:r>
        <w:rPr>
          <w:rFonts w:hint="eastAsia" w:ascii="仿宋_GB2312" w:hAnsi="仿宋_GB2312" w:eastAsia="仿宋_GB2312" w:cs="仿宋_GB2312"/>
          <w:color w:val="auto"/>
          <w:sz w:val="32"/>
          <w:szCs w:val="32"/>
        </w:rPr>
        <w:t>本科室内有考取国家劳动部颁发的公共营养师合格证副主任护师一名及在医院营养门诊随营养科主任医师出门诊多次具有丰富经验的主管护师一名，对患者进行营养健康教育，同时在患者出院后进行微管理，继续远程指导，多用QQ,微信公众号等通讯工具进行沟通指导，上传相关知识，提高依从性。</w:t>
      </w:r>
    </w:p>
    <w:p w14:paraId="6DFBB7D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1、饮食原则：遵循优质蛋白，高维生素，易消化合理的饮食原则，优质蛋白应占50%以上，多选瘦肉、蛋、鱼等动物性蛋白质。</w:t>
      </w:r>
    </w:p>
    <w:p w14:paraId="6982042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2、低磷饮食：为防止血磷升高，应食用含磷低的食物，每日磷摄入量控制于 800 ～1000 mg以内，避免使用黄豆、动物内脏、干果等，将含磷的食物成分表发给患者，供其饮食参考，营养专科护士开展一次健康教育讲座，推荐每日的合理膳食结构。高蛋白饮食是腹膜透析患者磷的主要来源，食物中 1g 蛋白的摄入伴随 15mg 磷的摄入，限磷饮食关键在于合理的优质低蛋白摄入。营养专科护士依据血液生化检查报告对患者进行个体化指导，透析患者总体的营养状态是低于正常人群的营养状态的，需同时患者定期监测白蛋白水平，以避免造成营养不良。</w:t>
      </w:r>
    </w:p>
    <w:p w14:paraId="7928202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3、经皮射频消融穿刺术后当日饮食指导：患者6 小时后可以进食冷流质及饮用冷开水，饮水后观察是否有呛咳现象，24 小时后可正常饮食</w:t>
      </w:r>
      <w:r>
        <w:rPr>
          <w:rFonts w:hint="eastAsia" w:ascii="仿宋_GB2312" w:hAnsi="仿宋_GB2312" w:eastAsia="仿宋_GB2312" w:cs="仿宋_GB2312"/>
          <w:color w:val="auto"/>
          <w:sz w:val="32"/>
          <w:szCs w:val="32"/>
          <w:lang w:eastAsia="zh-CN"/>
        </w:rPr>
        <w:t>。</w:t>
      </w:r>
    </w:p>
    <w:p w14:paraId="6CF0E4D9">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三、 病情观察</w:t>
      </w:r>
    </w:p>
    <w:p w14:paraId="41E47DD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 术前观察：术前清晨对所有患者正确采集上肢静脉血，测定其血清 iPTH、血常规、血凝四项、血磷以及血 Ca 水平等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患者术前均接受颈部CT或超声检查，包括甲状旁腺的大小、数目及血供等情况，以明确消融治疗路径，</w:t>
      </w:r>
      <w:r>
        <w:rPr>
          <w:rFonts w:hint="eastAsia" w:ascii="仿宋_GB2312" w:hAnsi="仿宋_GB2312" w:eastAsia="仿宋_GB2312" w:cs="仿宋_GB2312"/>
          <w:color w:val="auto"/>
          <w:sz w:val="32"/>
          <w:szCs w:val="32"/>
        </w:rPr>
        <w:t>配合医生准确评估其手术风险。</w:t>
      </w:r>
    </w:p>
    <w:p w14:paraId="6BB621D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术中配合：患者取仰卧位，给予颈部常规消毒后，采用2%利多卡因对颈部皮肤进行局部麻醉；在彩色多普勒超声诊断仪引导下，将5ml的2%利多卡因稀释至20ml后，注入病灶周围，并建立隔离带，以分离甲状旁腺腺体和其周围组织；</w:t>
      </w:r>
      <w:r>
        <w:rPr>
          <w:rFonts w:hint="eastAsia" w:ascii="仿宋_GB2312" w:hAnsi="仿宋_GB2312" w:eastAsia="仿宋_GB2312" w:cs="仿宋_GB2312"/>
          <w:color w:val="auto"/>
          <w:sz w:val="32"/>
          <w:szCs w:val="32"/>
        </w:rPr>
        <w:t>手术后协助患者按压5～10 min，并给予无菌纱布覆盖局部后予胶布加压;</w:t>
      </w:r>
      <w:r>
        <w:rPr>
          <w:rFonts w:hint="eastAsia" w:ascii="仿宋_GB2312" w:hAnsi="仿宋_GB2312" w:eastAsia="仿宋_GB2312" w:cs="仿宋_GB2312"/>
          <w:color w:val="auto"/>
          <w:sz w:val="32"/>
          <w:szCs w:val="32"/>
          <w:lang w:val="en-US" w:eastAsia="zh-CN"/>
        </w:rPr>
        <w:t>采用射频消融仪进行消融治疗，术中观察发音情况，若患者发音困难，则立即停止手术。</w:t>
      </w:r>
    </w:p>
    <w:p w14:paraId="3D94A787">
      <w:pPr>
        <w:keepNext w:val="0"/>
        <w:keepLines w:val="0"/>
        <w:pageBreakBefore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、并发症观察：患者穿刺返回病房后卧床休息，予以24小时心电监测，观察穿刺颈部有观察颈部是否有血肿</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局部胀闷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感染等情况，发现异常及时通知医生并进行处理。（1）防止术后出现低钙危象，及时发现患者低血钙症状，如：精神差，嗜睡，心率增快，出现低钙手足抽搐，心电图显示低钙性心律失常，及时汇报医生并遵医嘱补钙等处理。腹膜透析患者依赖对流与弥散被动对钙离子的转运，钙流速取决于患者血清钙水平、透析液钙浓度及超滤。因此，腹膜透析患者术后密切监测血钙水平，按需补钙，在穿刺术后返回病房分别于4小时、12小时抽取血钙检查。</w:t>
      </w:r>
      <w:r>
        <w:rPr>
          <w:rFonts w:hint="eastAsia" w:ascii="仿宋_GB2312" w:hAnsi="仿宋_GB2312" w:eastAsia="仿宋_GB2312" w:cs="仿宋_GB2312"/>
          <w:color w:val="auto"/>
          <w:sz w:val="32"/>
          <w:szCs w:val="32"/>
          <w:lang w:eastAsia="zh-CN"/>
        </w:rPr>
        <w:t>于治疗前及治疗后1</w:t>
      </w:r>
      <w:r>
        <w:rPr>
          <w:rFonts w:hint="eastAsia" w:ascii="仿宋_GB2312" w:hAnsi="仿宋_GB2312" w:eastAsia="仿宋_GB2312" w:cs="仿宋_GB2312"/>
          <w:color w:val="auto"/>
          <w:sz w:val="32"/>
          <w:szCs w:val="32"/>
          <w:lang w:val="en-US" w:eastAsia="zh-CN"/>
        </w:rPr>
        <w:t>天</w:t>
      </w:r>
      <w:r>
        <w:rPr>
          <w:rFonts w:hint="eastAsia" w:ascii="仿宋_GB2312" w:hAnsi="仿宋_GB2312" w:eastAsia="仿宋_GB2312" w:cs="仿宋_GB2312"/>
          <w:color w:val="auto"/>
          <w:sz w:val="32"/>
          <w:szCs w:val="32"/>
          <w:lang w:eastAsia="zh-CN"/>
        </w:rPr>
        <w:t>、1周、1个月、3个月及6个月采集患者空腹静脉血5～8ml，经离心处理后，分别检测并比较患者各时期血清甲状旁腺激素及血清磷水平。</w:t>
      </w:r>
      <w:r>
        <w:rPr>
          <w:rFonts w:hint="eastAsia" w:ascii="仿宋_GB2312" w:hAnsi="仿宋_GB2312" w:eastAsia="仿宋_GB2312" w:cs="仿宋_GB2312"/>
          <w:color w:val="auto"/>
          <w:sz w:val="32"/>
          <w:szCs w:val="32"/>
        </w:rPr>
        <w:t xml:space="preserve">（2）观察声音嘶哑; 射频消融时会发生喉返神经炎损伤，大部分患者出现声音嘶哑会在短时间内不治自愈，分析原因为可能为穿刺时建立甲状旁腺隔离带的隔离液对喉返神经压迫或短暂性麻痹作用引起。（3）观察颈部血肿：询问患者颈部胶布固定的舒适感，告知患者避免颈部大幅度转动，24 </w:t>
      </w:r>
      <w:r>
        <w:rPr>
          <w:rFonts w:hint="eastAsia" w:ascii="仿宋_GB2312" w:hAnsi="仿宋_GB2312" w:eastAsia="仿宋_GB2312" w:cs="仿宋_GB2312"/>
          <w:color w:val="auto"/>
          <w:sz w:val="32"/>
          <w:szCs w:val="32"/>
          <w:lang w:val="en-US" w:eastAsia="zh-CN"/>
        </w:rPr>
        <w:t>小时</w:t>
      </w:r>
      <w:r>
        <w:rPr>
          <w:rFonts w:hint="eastAsia" w:ascii="仿宋_GB2312" w:hAnsi="仿宋_GB2312" w:eastAsia="仿宋_GB2312" w:cs="仿宋_GB2312"/>
          <w:color w:val="auto"/>
          <w:sz w:val="32"/>
          <w:szCs w:val="32"/>
        </w:rPr>
        <w:t>减少颈部的活动量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同时保持颈部穿刺点的清洁干燥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24</w:t>
      </w:r>
      <w:r>
        <w:rPr>
          <w:rFonts w:hint="eastAsia" w:ascii="仿宋_GB2312" w:hAnsi="仿宋_GB2312" w:eastAsia="仿宋_GB2312" w:cs="仿宋_GB2312"/>
          <w:color w:val="auto"/>
          <w:sz w:val="32"/>
          <w:szCs w:val="32"/>
          <w:lang w:val="en-US" w:eastAsia="zh-CN"/>
        </w:rPr>
        <w:t>小时</w:t>
      </w:r>
      <w:r>
        <w:rPr>
          <w:rFonts w:hint="eastAsia" w:ascii="仿宋_GB2312" w:hAnsi="仿宋_GB2312" w:eastAsia="仿宋_GB2312" w:cs="仿宋_GB2312"/>
          <w:color w:val="auto"/>
          <w:sz w:val="32"/>
          <w:szCs w:val="32"/>
        </w:rPr>
        <w:t>不湿水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如发现颈部紧缩、烦躁不安，呼吸费力、进食或饮水后发生呛咳现象，及时通知医生进行处理。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如是否有疼痛，采用疼痛评分进行评分，并常规予口服解热镇痛药</w:t>
      </w:r>
      <w:r>
        <w:rPr>
          <w:rFonts w:hint="eastAsia" w:ascii="仿宋_GB2312" w:hAnsi="仿宋_GB2312" w:eastAsia="仿宋_GB2312" w:cs="仿宋_GB2312"/>
          <w:color w:val="auto"/>
          <w:sz w:val="32"/>
          <w:szCs w:val="32"/>
          <w:lang w:eastAsia="zh-CN"/>
        </w:rPr>
        <w:t>。</w:t>
      </w:r>
    </w:p>
    <w:p w14:paraId="0F77521B">
      <w:pPr>
        <w:keepNext w:val="0"/>
        <w:keepLines w:val="0"/>
        <w:pageBreakBefore w:val="0"/>
        <w:numPr>
          <w:ilvl w:val="0"/>
          <w:numId w:val="0"/>
        </w:numPr>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lang w:val="en-US" w:eastAsia="zh-CN"/>
        </w:rPr>
        <w:t>四、</w:t>
      </w:r>
      <w:r>
        <w:rPr>
          <w:rFonts w:hint="eastAsia" w:ascii="仿宋_GB2312" w:hAnsi="仿宋_GB2312" w:eastAsia="仿宋_GB2312" w:cs="仿宋_GB2312"/>
          <w:b/>
          <w:color w:val="auto"/>
          <w:sz w:val="32"/>
          <w:szCs w:val="32"/>
        </w:rPr>
        <w:t xml:space="preserve">药物指导： </w:t>
      </w:r>
      <w:r>
        <w:rPr>
          <w:rFonts w:hint="eastAsia" w:ascii="仿宋_GB2312" w:hAnsi="仿宋_GB2312" w:eastAsia="仿宋_GB2312" w:cs="仿宋_GB2312"/>
          <w:color w:val="auto"/>
          <w:sz w:val="32"/>
          <w:szCs w:val="32"/>
        </w:rPr>
        <w:t>射频消融前腹膜透析患者需停用拜阿司匹林、氯吡格雷等活血抗凝药物一周以上</w:t>
      </w:r>
      <w:r>
        <w:rPr>
          <w:rFonts w:hint="eastAsia" w:ascii="仿宋_GB2312" w:hAnsi="仿宋_GB2312" w:eastAsia="仿宋_GB2312" w:cs="仿宋_GB2312"/>
          <w:b/>
          <w:color w:val="auto"/>
          <w:sz w:val="32"/>
          <w:szCs w:val="32"/>
        </w:rPr>
        <w:t>。</w:t>
      </w:r>
      <w:r>
        <w:rPr>
          <w:rFonts w:hint="eastAsia" w:ascii="仿宋_GB2312" w:hAnsi="仿宋_GB2312" w:eastAsia="仿宋_GB2312" w:cs="仿宋_GB2312"/>
          <w:color w:val="auto"/>
          <w:sz w:val="32"/>
          <w:szCs w:val="32"/>
        </w:rPr>
        <w:t>指导患者正确服用磷结合剂方法，不同的降磷药品有不同的服用方法，如碳酸镧咀嚼片需咬碎服用，碳酸司维拉姆需整片吞服，严格遵照医生处方的量咬碎或磨粉与饭菜一起吃，以使药物能立即有效的防止食物中的磷自肠胃道吸收。同时使用磷结合剂易导致便秘，如有患者主诉有便秘，可依医生处方服用适量软便剂来改善。</w:t>
      </w:r>
    </w:p>
    <w:p w14:paraId="60FDE5DF">
      <w:pPr>
        <w:keepNext w:val="0"/>
        <w:keepLines w:val="0"/>
        <w:pageBreakBefore w:val="0"/>
        <w:numPr>
          <w:ilvl w:val="0"/>
          <w:numId w:val="0"/>
        </w:numPr>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lang w:val="en-US" w:eastAsia="zh-CN"/>
        </w:rPr>
        <w:t>五、出院指导：</w:t>
      </w:r>
      <w:r>
        <w:rPr>
          <w:rFonts w:hint="eastAsia" w:ascii="仿宋_GB2312" w:hAnsi="仿宋_GB2312" w:eastAsia="仿宋_GB2312" w:cs="仿宋_GB2312"/>
          <w:b w:val="0"/>
          <w:bCs w:val="0"/>
          <w:color w:val="auto"/>
          <w:sz w:val="32"/>
          <w:szCs w:val="32"/>
          <w:lang w:val="en-US" w:eastAsia="zh-CN"/>
        </w:rPr>
        <w:t>出院日给予饮食指导，日常生活指导; 告知出院一个月后回医院复查甲状腺B超; 评估患者对出院后注意事项的掌握情况，必要时再次宣教; 耐心解答患者及家属要了解的问题。</w:t>
      </w:r>
    </w:p>
    <w:p w14:paraId="15F4967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综上所述，慢性肾脏病（chronic kidney disease，CKD）接受长期腹膜透析治疗的患者，继发性甲状旁腺功能亢进是慢性肾脏病的常见并发症，SHPT参与透析患者的骨骼代谢、心血管钙化，对透析患者的生活质量产生严重影响，致其死亡率增加。其中影响维持性腹膜透析患者钙、磷、甲状旁腺激素代谢的因素诸多，包括饮食、磷结合剂的应用、残余肾功能、透析液的钙离子浓度、腹膜的转运特性等。超声引导经皮穿刺 SHPT 的消融治疗是一种新兴技术，具有微创、治疗靶向性强、消融时间较短、患者痛苦小、并发症少、可重复治疗等特点。在使用超声引导经皮穿刺 SHPT 的射频消融治疗应注意配合适当的护理措施，护理干预能更好的控制患者钙磷指标,减少钙磷代谢紊乱的发生,提高患者依从性和生存质量。</w:t>
      </w:r>
    </w:p>
    <w:p w14:paraId="67A3AB49">
      <w:pPr>
        <w:keepNext w:val="0"/>
        <w:keepLines w:val="0"/>
        <w:pageBreakBefore w:val="0"/>
        <w:kinsoku/>
        <w:wordWrap/>
        <w:overflowPunct/>
        <w:topLinePunct w:val="0"/>
        <w:bidi w:val="0"/>
        <w:snapToGrid/>
        <w:spacing w:line="59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61AAFC09">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014CEEAE">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2EFD6BFE">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4EE2ACAB">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679605A3">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68144728">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2FD56666">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5CC1083B">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04DEDDB5">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41B816F1">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3F3793C4">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p>
    <w:p w14:paraId="744062C0">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b/>
          <w:bCs/>
          <w:color w:val="auto"/>
          <w:sz w:val="32"/>
          <w:szCs w:val="32"/>
          <w:lang w:eastAsia="zh-CN"/>
        </w:rPr>
      </w:pPr>
    </w:p>
    <w:p w14:paraId="1C699D52">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b/>
          <w:bCs/>
          <w:color w:val="auto"/>
          <w:sz w:val="32"/>
          <w:szCs w:val="32"/>
          <w:lang w:eastAsia="zh-CN"/>
        </w:rPr>
      </w:pPr>
    </w:p>
    <w:p w14:paraId="5708E787">
      <w:pPr>
        <w:keepNext w:val="0"/>
        <w:keepLines w:val="0"/>
        <w:pageBreakBefore w:val="0"/>
        <w:tabs>
          <w:tab w:val="left" w:pos="2700"/>
        </w:tabs>
        <w:kinsoku/>
        <w:wordWrap/>
        <w:overflowPunct/>
        <w:topLinePunct w:val="0"/>
        <w:bidi w:val="0"/>
        <w:snapToGrid/>
        <w:spacing w:line="59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附单选</w:t>
      </w:r>
      <w:bookmarkStart w:id="0" w:name="_GoBack"/>
      <w:bookmarkEnd w:id="0"/>
      <w:r>
        <w:rPr>
          <w:rFonts w:hint="eastAsia" w:ascii="仿宋_GB2312" w:hAnsi="仿宋_GB2312" w:eastAsia="仿宋_GB2312" w:cs="仿宋_GB2312"/>
          <w:b/>
          <w:bCs/>
          <w:color w:val="auto"/>
          <w:sz w:val="32"/>
          <w:szCs w:val="32"/>
        </w:rPr>
        <w:t>题</w:t>
      </w:r>
    </w:p>
    <w:p w14:paraId="3F940391">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射频消融遵循饮食原则（ ）。</w:t>
      </w:r>
    </w:p>
    <w:p w14:paraId="2B162DF7">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 xml:space="preserve">A 优质蛋白 </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B</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 xml:space="preserve">高维生素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C</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易消化</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 xml:space="preserve">   D 以上都是</w:t>
      </w:r>
    </w:p>
    <w:p w14:paraId="506047C3">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射频消融饮食中优质蛋白应占（ ）。</w:t>
      </w:r>
    </w:p>
    <w:p w14:paraId="445C94AD">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 100%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B 80%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C 10%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D 50%</w:t>
      </w:r>
    </w:p>
    <w:p w14:paraId="7CDFD60D">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射频消融饮食中应每日磷摄入量控制于(   ) mg以内。</w:t>
      </w:r>
    </w:p>
    <w:p w14:paraId="36A8BE4D">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 100</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 xml:space="preserve">B 300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C 500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D  800-1000</w:t>
      </w:r>
    </w:p>
    <w:p w14:paraId="6F15119B">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射频消融饮食中应（ ）。</w:t>
      </w:r>
    </w:p>
    <w:p w14:paraId="05600D5D">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 高磷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B 低磷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C  无磷    D 以上都不是</w:t>
      </w:r>
      <w:r>
        <w:rPr>
          <w:rFonts w:hint="eastAsia" w:ascii="仿宋_GB2312" w:hAnsi="仿宋_GB2312" w:eastAsia="仿宋_GB2312" w:cs="仿宋_GB2312"/>
          <w:color w:val="auto"/>
          <w:sz w:val="32"/>
          <w:szCs w:val="32"/>
        </w:rPr>
        <w:tab/>
      </w:r>
    </w:p>
    <w:p w14:paraId="1404F69D">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高蛋白饮食是腹膜透析患者磷的主要来源，食物中1g 蛋白的摄入伴随（ ）mg 磷的摄入。</w:t>
      </w:r>
    </w:p>
    <w:p w14:paraId="01A69ACF">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 15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B 20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C 25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D 50 </w:t>
      </w:r>
    </w:p>
    <w:p w14:paraId="2E35B5E5">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射频消融术后密切监测血钙水平，返回病房分别于（ ）小时抽取血钙检查。</w:t>
      </w:r>
    </w:p>
    <w:p w14:paraId="7FF385DA">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  4、12      B  2、4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C  6、12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D 12、24</w:t>
      </w:r>
    </w:p>
    <w:p w14:paraId="60661982">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射频消融时大部分患者出现声音嘶哑分析原因不可能为（ ）引起。</w:t>
      </w:r>
    </w:p>
    <w:p w14:paraId="15BD955B">
      <w:pPr>
        <w:keepNext w:val="0"/>
        <w:keepLines w:val="0"/>
        <w:pageBreakBefore w:val="0"/>
        <w:tabs>
          <w:tab w:val="left" w:pos="2445"/>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 喉返神经压迫</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B 手术切除  </w:t>
      </w:r>
    </w:p>
    <w:p w14:paraId="09B3CFEE">
      <w:pPr>
        <w:keepNext w:val="0"/>
        <w:keepLines w:val="0"/>
        <w:pageBreakBefore w:val="0"/>
        <w:tabs>
          <w:tab w:val="left" w:pos="2445"/>
        </w:tabs>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C 短暂性麻痹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D喉返神经炎损伤</w:t>
      </w:r>
    </w:p>
    <w:p w14:paraId="3BA12BF9">
      <w:pPr>
        <w:keepNext w:val="0"/>
        <w:keepLines w:val="0"/>
        <w:pageBreakBefore w:val="0"/>
        <w:numPr>
          <w:ilvl w:val="0"/>
          <w:numId w:val="1"/>
        </w:numPr>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影响维持性腹膜透析患者钙、磷、甲状旁腺激素代谢的因素诸多，包括（ ）。</w:t>
      </w:r>
    </w:p>
    <w:p w14:paraId="7D82BCAC">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lang w:val="pt-PT"/>
        </w:rPr>
      </w:pPr>
      <w:r>
        <w:rPr>
          <w:rFonts w:hint="eastAsia" w:ascii="仿宋_GB2312" w:hAnsi="仿宋_GB2312" w:eastAsia="仿宋_GB2312" w:cs="仿宋_GB2312"/>
          <w:color w:val="auto"/>
          <w:sz w:val="32"/>
          <w:szCs w:val="32"/>
          <w:lang w:val="pt-PT"/>
        </w:rPr>
        <w:t xml:space="preserve">A </w:t>
      </w:r>
      <w:r>
        <w:rPr>
          <w:rFonts w:hint="eastAsia" w:ascii="仿宋_GB2312" w:hAnsi="仿宋_GB2312" w:eastAsia="仿宋_GB2312" w:cs="仿宋_GB2312"/>
          <w:color w:val="auto"/>
          <w:sz w:val="32"/>
          <w:szCs w:val="32"/>
        </w:rPr>
        <w:t xml:space="preserve">饮食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val="pt-PT"/>
        </w:rPr>
        <w:t xml:space="preserve"> B </w:t>
      </w:r>
      <w:r>
        <w:rPr>
          <w:rFonts w:hint="eastAsia" w:ascii="仿宋_GB2312" w:hAnsi="仿宋_GB2312" w:eastAsia="仿宋_GB2312" w:cs="仿宋_GB2312"/>
          <w:color w:val="auto"/>
          <w:sz w:val="32"/>
          <w:szCs w:val="32"/>
        </w:rPr>
        <w:t xml:space="preserve">磷结合剂的应用 </w:t>
      </w:r>
      <w:r>
        <w:rPr>
          <w:rFonts w:hint="eastAsia" w:ascii="仿宋_GB2312" w:hAnsi="仿宋_GB2312" w:eastAsia="仿宋_GB2312" w:cs="仿宋_GB2312"/>
          <w:color w:val="auto"/>
          <w:sz w:val="32"/>
          <w:szCs w:val="32"/>
          <w:lang w:val="pt-PT"/>
        </w:rPr>
        <w:t xml:space="preserve"> </w:t>
      </w:r>
    </w:p>
    <w:p w14:paraId="461A8CB3">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lang w:val="pt-PT"/>
        </w:rPr>
      </w:pPr>
      <w:r>
        <w:rPr>
          <w:rFonts w:hint="eastAsia" w:ascii="仿宋_GB2312" w:hAnsi="仿宋_GB2312" w:eastAsia="仿宋_GB2312" w:cs="仿宋_GB2312"/>
          <w:color w:val="auto"/>
          <w:sz w:val="32"/>
          <w:szCs w:val="32"/>
          <w:lang w:val="pt-PT"/>
        </w:rPr>
        <w:t xml:space="preserve">C </w:t>
      </w:r>
      <w:r>
        <w:rPr>
          <w:rFonts w:hint="eastAsia" w:ascii="仿宋_GB2312" w:hAnsi="仿宋_GB2312" w:eastAsia="仿宋_GB2312" w:cs="仿宋_GB2312"/>
          <w:color w:val="auto"/>
          <w:sz w:val="32"/>
          <w:szCs w:val="32"/>
        </w:rPr>
        <w:t>透析液的钙离子浓度</w:t>
      </w:r>
      <w:r>
        <w:rPr>
          <w:rFonts w:hint="eastAsia" w:ascii="仿宋_GB2312" w:hAnsi="仿宋_GB2312" w:eastAsia="仿宋_GB2312" w:cs="仿宋_GB2312"/>
          <w:color w:val="auto"/>
          <w:sz w:val="32"/>
          <w:szCs w:val="32"/>
          <w:lang w:val="pt-PT"/>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val="pt-PT"/>
        </w:rPr>
        <w:t xml:space="preserve"> D 以上都是</w:t>
      </w:r>
    </w:p>
    <w:p w14:paraId="08788531">
      <w:pPr>
        <w:keepNext w:val="0"/>
        <w:keepLines w:val="0"/>
        <w:pageBreakBefore w:val="0"/>
        <w:kinsoku/>
        <w:wordWrap/>
        <w:overflowPunct/>
        <w:topLinePunct w:val="0"/>
        <w:bidi w:val="0"/>
        <w:snapToGrid/>
        <w:spacing w:line="59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 超声引导经皮穿刺 SHPT 的消融治疗的特点正确的是（ ）。</w:t>
      </w:r>
    </w:p>
    <w:p w14:paraId="74526489">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 微创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B治疗靶向性强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C可重复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D以上都是</w:t>
      </w:r>
    </w:p>
    <w:p w14:paraId="34492330">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10．观察颈部血肿以下说法不正确的是（ ）。</w:t>
      </w:r>
    </w:p>
    <w:p w14:paraId="399EEE80">
      <w:pPr>
        <w:keepNext w:val="0"/>
        <w:keepLines w:val="0"/>
        <w:pageBreakBefore w:val="0"/>
        <w:kinsoku/>
        <w:wordWrap/>
        <w:overflowPunct/>
        <w:topLinePunct w:val="0"/>
        <w:autoSpaceDE w:val="0"/>
        <w:autoSpaceDN w:val="0"/>
        <w:bidi w:val="0"/>
        <w:adjustRightInd w:val="0"/>
        <w:snapToGrid/>
        <w:spacing w:line="590" w:lineRule="exact"/>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A 询问患者颈部胶布固定的舒适感，告知患者避免颈部大幅度转动</w:t>
      </w:r>
      <w:r>
        <w:rPr>
          <w:rFonts w:hint="eastAsia" w:ascii="仿宋_GB2312" w:hAnsi="仿宋_GB2312" w:eastAsia="仿宋_GB2312" w:cs="仿宋_GB2312"/>
          <w:color w:val="auto"/>
          <w:kern w:val="0"/>
          <w:sz w:val="32"/>
          <w:szCs w:val="32"/>
        </w:rPr>
        <w:t>。</w:t>
      </w:r>
    </w:p>
    <w:p w14:paraId="5EF0D1D8">
      <w:pPr>
        <w:keepNext w:val="0"/>
        <w:keepLines w:val="0"/>
        <w:pageBreakBefore w:val="0"/>
        <w:kinsoku/>
        <w:wordWrap/>
        <w:overflowPunct/>
        <w:topLinePunct w:val="0"/>
        <w:bidi w:val="0"/>
        <w:snapToGrid/>
        <w:spacing w:line="59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 如发现颈部紧缩、烦躁不安，及时通知医生进行处理</w:t>
      </w:r>
      <w:r>
        <w:rPr>
          <w:rFonts w:hint="eastAsia" w:ascii="仿宋_GB2312" w:hAnsi="仿宋_GB2312" w:eastAsia="仿宋_GB2312" w:cs="仿宋_GB2312"/>
          <w:color w:val="auto"/>
          <w:kern w:val="0"/>
          <w:sz w:val="32"/>
          <w:szCs w:val="32"/>
        </w:rPr>
        <w:t>。</w:t>
      </w:r>
    </w:p>
    <w:p w14:paraId="2E5FF338">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 呼吸费力、进食或饮水后发生呛咳现象及时通知医生进行处理。</w:t>
      </w:r>
    </w:p>
    <w:p w14:paraId="2FC6E6D2">
      <w:pPr>
        <w:keepNext w:val="0"/>
        <w:keepLines w:val="0"/>
        <w:pageBreakBefore w:val="0"/>
        <w:kinsoku/>
        <w:wordWrap/>
        <w:overflowPunct/>
        <w:topLinePunct w:val="0"/>
        <w:bidi w:val="0"/>
        <w:snapToGrid/>
        <w:spacing w:line="59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 以上都错</w:t>
      </w:r>
    </w:p>
    <w:p w14:paraId="48323AD3">
      <w:pPr>
        <w:ind w:firstLine="480"/>
        <w:rPr>
          <w:rFonts w:ascii="Times New Roman" w:hAnsi="Times New Roman" w:eastAsia="宋体" w:cs="Times New Roman"/>
          <w:color w:val="auto"/>
          <w:szCs w:val="24"/>
        </w:rPr>
      </w:pPr>
    </w:p>
    <w:p w14:paraId="04BD4F5D">
      <w:pPr>
        <w:spacing w:line="360" w:lineRule="auto"/>
        <w:ind w:firstLine="240" w:firstLineChars="100"/>
        <w:rPr>
          <w:rFonts w:ascii="宋体" w:hAnsi="宋体" w:eastAsia="宋体" w:cs="Times New Roman"/>
          <w:color w:val="auto"/>
          <w:sz w:val="24"/>
          <w:szCs w:val="24"/>
        </w:rPr>
      </w:pPr>
    </w:p>
    <w:p w14:paraId="1E45A8F3">
      <w:pPr>
        <w:spacing w:line="360" w:lineRule="auto"/>
        <w:rPr>
          <w:rFonts w:ascii="宋体" w:hAnsi="宋体" w:eastAsia="宋体" w:cs="Times New Roman"/>
          <w:color w:val="auto"/>
          <w:sz w:val="24"/>
          <w:szCs w:val="24"/>
          <w:lang w:val="pt-PT"/>
        </w:rPr>
      </w:pPr>
      <w:r>
        <w:rPr>
          <w:rFonts w:hint="eastAsia" w:ascii="宋体" w:hAnsi="宋体" w:eastAsia="宋体" w:cs="Times New Roman"/>
          <w:color w:val="auto"/>
          <w:sz w:val="24"/>
          <w:szCs w:val="24"/>
          <w:lang w:val="pt-PT"/>
        </w:rPr>
        <w:t xml:space="preserve"> </w:t>
      </w:r>
    </w:p>
    <w:p w14:paraId="5F952BC7">
      <w:pPr>
        <w:spacing w:line="360" w:lineRule="auto"/>
        <w:rPr>
          <w:rFonts w:ascii="宋体" w:hAnsi="宋体" w:eastAsia="宋体"/>
          <w:color w:val="auto"/>
          <w:sz w:val="24"/>
          <w:szCs w:val="24"/>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C09D3"/>
    <w:multiLevelType w:val="multilevel"/>
    <w:tmpl w:val="165C09D3"/>
    <w:lvl w:ilvl="0" w:tentative="0">
      <w:start w:val="1"/>
      <w:numFmt w:val="decimal"/>
      <w:lvlText w:val="%1."/>
      <w:lvlJc w:val="left"/>
      <w:pPr>
        <w:tabs>
          <w:tab w:val="left" w:pos="360"/>
        </w:tabs>
        <w:ind w:left="360" w:hanging="360"/>
      </w:pPr>
      <w:rPr>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AD"/>
    <w:rsid w:val="000268D8"/>
    <w:rsid w:val="0003395D"/>
    <w:rsid w:val="000348CD"/>
    <w:rsid w:val="00041138"/>
    <w:rsid w:val="000470E2"/>
    <w:rsid w:val="00052188"/>
    <w:rsid w:val="00053A28"/>
    <w:rsid w:val="00053EB5"/>
    <w:rsid w:val="00065D75"/>
    <w:rsid w:val="00085708"/>
    <w:rsid w:val="00087B12"/>
    <w:rsid w:val="000920CF"/>
    <w:rsid w:val="000927D9"/>
    <w:rsid w:val="0009500E"/>
    <w:rsid w:val="00095349"/>
    <w:rsid w:val="000A6558"/>
    <w:rsid w:val="000B410F"/>
    <w:rsid w:val="000D3D41"/>
    <w:rsid w:val="000D45CF"/>
    <w:rsid w:val="00107686"/>
    <w:rsid w:val="001151DC"/>
    <w:rsid w:val="0012556C"/>
    <w:rsid w:val="0013159B"/>
    <w:rsid w:val="00162C21"/>
    <w:rsid w:val="001B0EAD"/>
    <w:rsid w:val="001B4CB2"/>
    <w:rsid w:val="001C1634"/>
    <w:rsid w:val="001D3130"/>
    <w:rsid w:val="001E346A"/>
    <w:rsid w:val="001E44C3"/>
    <w:rsid w:val="001E7290"/>
    <w:rsid w:val="0020574F"/>
    <w:rsid w:val="0023625E"/>
    <w:rsid w:val="0026180B"/>
    <w:rsid w:val="00265744"/>
    <w:rsid w:val="00270128"/>
    <w:rsid w:val="00275102"/>
    <w:rsid w:val="00275587"/>
    <w:rsid w:val="00287E39"/>
    <w:rsid w:val="00292346"/>
    <w:rsid w:val="002A215A"/>
    <w:rsid w:val="002B161D"/>
    <w:rsid w:val="002E19EA"/>
    <w:rsid w:val="002E5B18"/>
    <w:rsid w:val="002F64E5"/>
    <w:rsid w:val="0030526A"/>
    <w:rsid w:val="0031337E"/>
    <w:rsid w:val="0031580F"/>
    <w:rsid w:val="003262BC"/>
    <w:rsid w:val="003273C9"/>
    <w:rsid w:val="00352A8B"/>
    <w:rsid w:val="003618FB"/>
    <w:rsid w:val="00376204"/>
    <w:rsid w:val="00395EA8"/>
    <w:rsid w:val="003A0298"/>
    <w:rsid w:val="003A2DD4"/>
    <w:rsid w:val="003C7A01"/>
    <w:rsid w:val="003D04C3"/>
    <w:rsid w:val="003D1E90"/>
    <w:rsid w:val="003D52C5"/>
    <w:rsid w:val="003E0F93"/>
    <w:rsid w:val="00402225"/>
    <w:rsid w:val="00430EB4"/>
    <w:rsid w:val="004459FA"/>
    <w:rsid w:val="00470050"/>
    <w:rsid w:val="004712D1"/>
    <w:rsid w:val="00475B0B"/>
    <w:rsid w:val="00482BD6"/>
    <w:rsid w:val="004E1F5B"/>
    <w:rsid w:val="004F2072"/>
    <w:rsid w:val="00500D41"/>
    <w:rsid w:val="00506DF8"/>
    <w:rsid w:val="00510D6D"/>
    <w:rsid w:val="00514991"/>
    <w:rsid w:val="005243FE"/>
    <w:rsid w:val="00543B6C"/>
    <w:rsid w:val="00583D88"/>
    <w:rsid w:val="005940C2"/>
    <w:rsid w:val="005B0236"/>
    <w:rsid w:val="005B46BE"/>
    <w:rsid w:val="005E0E37"/>
    <w:rsid w:val="005E3A6E"/>
    <w:rsid w:val="005F55D0"/>
    <w:rsid w:val="00616E19"/>
    <w:rsid w:val="00643703"/>
    <w:rsid w:val="00645F65"/>
    <w:rsid w:val="00652A1D"/>
    <w:rsid w:val="00654462"/>
    <w:rsid w:val="00667A2E"/>
    <w:rsid w:val="00667CFD"/>
    <w:rsid w:val="006700D0"/>
    <w:rsid w:val="00670BEB"/>
    <w:rsid w:val="006835BC"/>
    <w:rsid w:val="00687119"/>
    <w:rsid w:val="00695102"/>
    <w:rsid w:val="00696213"/>
    <w:rsid w:val="006A6A5D"/>
    <w:rsid w:val="006B3FD7"/>
    <w:rsid w:val="006B417A"/>
    <w:rsid w:val="006C71E5"/>
    <w:rsid w:val="006D2324"/>
    <w:rsid w:val="006D7BE0"/>
    <w:rsid w:val="006E481A"/>
    <w:rsid w:val="00714003"/>
    <w:rsid w:val="007253DF"/>
    <w:rsid w:val="0076219E"/>
    <w:rsid w:val="00764F4B"/>
    <w:rsid w:val="0076688F"/>
    <w:rsid w:val="00783C8A"/>
    <w:rsid w:val="00784D0E"/>
    <w:rsid w:val="00786388"/>
    <w:rsid w:val="0079614F"/>
    <w:rsid w:val="007E2A8F"/>
    <w:rsid w:val="007E3C55"/>
    <w:rsid w:val="007F091E"/>
    <w:rsid w:val="007F1622"/>
    <w:rsid w:val="00823E6D"/>
    <w:rsid w:val="008436A6"/>
    <w:rsid w:val="00860D02"/>
    <w:rsid w:val="00865ADB"/>
    <w:rsid w:val="00893825"/>
    <w:rsid w:val="00894F36"/>
    <w:rsid w:val="008B1A8A"/>
    <w:rsid w:val="008B4755"/>
    <w:rsid w:val="008F4E10"/>
    <w:rsid w:val="00900624"/>
    <w:rsid w:val="00904426"/>
    <w:rsid w:val="00931DF3"/>
    <w:rsid w:val="0096066F"/>
    <w:rsid w:val="00985A4B"/>
    <w:rsid w:val="009D04E6"/>
    <w:rsid w:val="009E23C0"/>
    <w:rsid w:val="009E7FF2"/>
    <w:rsid w:val="00A16440"/>
    <w:rsid w:val="00A30F45"/>
    <w:rsid w:val="00A323FF"/>
    <w:rsid w:val="00A43D93"/>
    <w:rsid w:val="00A613D4"/>
    <w:rsid w:val="00A62F30"/>
    <w:rsid w:val="00A65FBF"/>
    <w:rsid w:val="00A667A8"/>
    <w:rsid w:val="00A67538"/>
    <w:rsid w:val="00A71D85"/>
    <w:rsid w:val="00A97210"/>
    <w:rsid w:val="00AA5FE7"/>
    <w:rsid w:val="00AB5C94"/>
    <w:rsid w:val="00B0685B"/>
    <w:rsid w:val="00B16403"/>
    <w:rsid w:val="00B263F0"/>
    <w:rsid w:val="00B35270"/>
    <w:rsid w:val="00B43C01"/>
    <w:rsid w:val="00B55F56"/>
    <w:rsid w:val="00B5628B"/>
    <w:rsid w:val="00B62D92"/>
    <w:rsid w:val="00B7369A"/>
    <w:rsid w:val="00B86096"/>
    <w:rsid w:val="00B87268"/>
    <w:rsid w:val="00BA33A9"/>
    <w:rsid w:val="00BA5B84"/>
    <w:rsid w:val="00BD05BD"/>
    <w:rsid w:val="00BD23AD"/>
    <w:rsid w:val="00BD2883"/>
    <w:rsid w:val="00BF4B55"/>
    <w:rsid w:val="00BF6E33"/>
    <w:rsid w:val="00C2738B"/>
    <w:rsid w:val="00C31CAD"/>
    <w:rsid w:val="00C32CA6"/>
    <w:rsid w:val="00C437E0"/>
    <w:rsid w:val="00C54E09"/>
    <w:rsid w:val="00C575C5"/>
    <w:rsid w:val="00C951ED"/>
    <w:rsid w:val="00CB11B4"/>
    <w:rsid w:val="00CC5503"/>
    <w:rsid w:val="00CD71F1"/>
    <w:rsid w:val="00D2110D"/>
    <w:rsid w:val="00D35208"/>
    <w:rsid w:val="00D36C72"/>
    <w:rsid w:val="00D42C6E"/>
    <w:rsid w:val="00D629A3"/>
    <w:rsid w:val="00D65B41"/>
    <w:rsid w:val="00D955D9"/>
    <w:rsid w:val="00D95E0C"/>
    <w:rsid w:val="00DB229E"/>
    <w:rsid w:val="00DB6307"/>
    <w:rsid w:val="00DE32D3"/>
    <w:rsid w:val="00DE7464"/>
    <w:rsid w:val="00DF19BE"/>
    <w:rsid w:val="00E11970"/>
    <w:rsid w:val="00E14CDC"/>
    <w:rsid w:val="00E20FEB"/>
    <w:rsid w:val="00E25871"/>
    <w:rsid w:val="00E5685A"/>
    <w:rsid w:val="00E65AB3"/>
    <w:rsid w:val="00E65B31"/>
    <w:rsid w:val="00E7225D"/>
    <w:rsid w:val="00E94E76"/>
    <w:rsid w:val="00E977DF"/>
    <w:rsid w:val="00EA0A52"/>
    <w:rsid w:val="00EB547C"/>
    <w:rsid w:val="00EC58E0"/>
    <w:rsid w:val="00EC5C3F"/>
    <w:rsid w:val="00EF03AF"/>
    <w:rsid w:val="00F04AB9"/>
    <w:rsid w:val="00F16622"/>
    <w:rsid w:val="00F207F3"/>
    <w:rsid w:val="00F2222F"/>
    <w:rsid w:val="00F24600"/>
    <w:rsid w:val="00F36A38"/>
    <w:rsid w:val="00F73ABF"/>
    <w:rsid w:val="00F76A86"/>
    <w:rsid w:val="00F8422F"/>
    <w:rsid w:val="00F92B4F"/>
    <w:rsid w:val="00FA6265"/>
    <w:rsid w:val="00FB2319"/>
    <w:rsid w:val="00FF0C7E"/>
    <w:rsid w:val="00FF4FEC"/>
    <w:rsid w:val="00FF576A"/>
    <w:rsid w:val="010E05EA"/>
    <w:rsid w:val="080457F4"/>
    <w:rsid w:val="0B5A202D"/>
    <w:rsid w:val="0C1842CE"/>
    <w:rsid w:val="0FDB0CD5"/>
    <w:rsid w:val="10E074BD"/>
    <w:rsid w:val="10ED448B"/>
    <w:rsid w:val="190966B7"/>
    <w:rsid w:val="1DE410E3"/>
    <w:rsid w:val="2A6E7D39"/>
    <w:rsid w:val="2A88432A"/>
    <w:rsid w:val="30C426F8"/>
    <w:rsid w:val="32830EC3"/>
    <w:rsid w:val="332548D2"/>
    <w:rsid w:val="3BA72F51"/>
    <w:rsid w:val="3BCB656A"/>
    <w:rsid w:val="3EF474E2"/>
    <w:rsid w:val="42151B0A"/>
    <w:rsid w:val="503E5963"/>
    <w:rsid w:val="53264725"/>
    <w:rsid w:val="566931F8"/>
    <w:rsid w:val="57F43585"/>
    <w:rsid w:val="5C3E51FA"/>
    <w:rsid w:val="5CAA1CEC"/>
    <w:rsid w:val="5E552C34"/>
    <w:rsid w:val="5EB75A3A"/>
    <w:rsid w:val="5FCA5B0E"/>
    <w:rsid w:val="6B9B6964"/>
    <w:rsid w:val="6D827417"/>
    <w:rsid w:val="73716387"/>
    <w:rsid w:val="758661AC"/>
    <w:rsid w:val="7C496E1C"/>
    <w:rsid w:val="7D59557C"/>
    <w:rsid w:val="7D8B44FF"/>
    <w:rsid w:val="7F675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6"/>
    <w:autoRedefine/>
    <w:semiHidden/>
    <w:unhideWhenUsed/>
    <w:qFormat/>
    <w:uiPriority w:val="99"/>
    <w:pPr>
      <w:ind w:left="100" w:leftChars="2500"/>
    </w:pPr>
  </w:style>
  <w:style w:type="paragraph" w:styleId="5">
    <w:name w:val="List Paragraph"/>
    <w:basedOn w:val="1"/>
    <w:autoRedefine/>
    <w:qFormat/>
    <w:uiPriority w:val="34"/>
    <w:pPr>
      <w:ind w:firstLine="420" w:firstLineChars="200"/>
    </w:pPr>
  </w:style>
  <w:style w:type="character" w:customStyle="1" w:styleId="6">
    <w:name w:val="日期 字符"/>
    <w:basedOn w:val="4"/>
    <w:link w:val="2"/>
    <w:autoRedefine/>
    <w:semiHidden/>
    <w:qFormat/>
    <w:uiPriority w:val="99"/>
  </w:style>
  <w:style w:type="paragraph" w:styleId="7">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3327</Words>
  <Characters>3482</Characters>
  <Lines>21</Lines>
  <Paragraphs>5</Paragraphs>
  <TotalTime>13</TotalTime>
  <ScaleCrop>false</ScaleCrop>
  <LinksUpToDate>false</LinksUpToDate>
  <CharactersWithSpaces>3760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2019-05-30T07:40:00Z</dcterms:created>
  <dc:creator>CF</dc:creator>
  <cp:lastModifiedBy>lenovo</cp:lastModifiedBy>
  <dcterms:modified xsi:type="dcterms:W3CDTF">2025-07-31T08:09:32Z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74FE515026BA44A1AC35515412177D0C_13</vt:lpwstr>
  </property>
  <property fmtid="{D5CDD505-2E9C-101B-9397-08002B2CF9AE}" pid="4" name="KSOTemplateDocerSaveRecord">
    <vt:lpwstr>eyJoZGlkIjoiMDAxYmE2ZWJmM2RkM2I4YjQwM2FjMjkzN2EyMTE1MGUifQ==</vt:lpwstr>
  </property>
</Properties>
</file>